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6463" w14:textId="77777777" w:rsidR="00803AD7" w:rsidRDefault="00803AD7" w:rsidP="00803AD7">
      <w:pPr>
        <w:jc w:val="center"/>
        <w:rPr>
          <w:rFonts w:ascii="Franklin Gothic Demi" w:eastAsia="Franklin Gothic Demi" w:hAnsi="Franklin Gothic Demi" w:cs="Franklin Gothic Demi"/>
          <w:sz w:val="20"/>
          <w:szCs w:val="20"/>
        </w:rPr>
      </w:pPr>
      <w:r w:rsidRPr="00B65B84">
        <w:rPr>
          <w:rFonts w:ascii="Tahoma" w:hAnsi="Tahoma" w:cs="Tahoma"/>
          <w:b/>
          <w:noProof/>
          <w:sz w:val="36"/>
          <w:szCs w:val="52"/>
          <w:lang w:eastAsia="en-US"/>
        </w:rPr>
        <w:drawing>
          <wp:inline distT="0" distB="0" distL="0" distR="0" wp14:anchorId="1DED1F43" wp14:editId="3460A68D">
            <wp:extent cx="2466975" cy="622131"/>
            <wp:effectExtent l="0" t="0" r="0" b="0"/>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rotWithShape="1">
                    <a:blip r:embed="rId6"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1CF1BA44" w14:textId="67488324" w:rsidR="00152FAF" w:rsidRDefault="00152FAF" w:rsidP="00152FAF">
      <w:pPr>
        <w:spacing w:after="0" w:line="240" w:lineRule="auto"/>
        <w:jc w:val="center"/>
        <w:rPr>
          <w:rFonts w:ascii="Franklin Gothic Medium" w:hAnsi="Franklin Gothic Medium" w:cs="Tahoma"/>
          <w:color w:val="2A3190"/>
          <w:sz w:val="28"/>
          <w:szCs w:val="28"/>
        </w:rPr>
      </w:pPr>
      <w:r>
        <w:rPr>
          <w:rFonts w:ascii="Franklin Gothic Medium" w:hAnsi="Franklin Gothic Medium" w:cs="Tahoma"/>
          <w:color w:val="2A3190"/>
          <w:sz w:val="28"/>
          <w:szCs w:val="28"/>
        </w:rPr>
        <w:t xml:space="preserve">Newcomer Housing </w:t>
      </w:r>
      <w:r>
        <w:rPr>
          <w:rFonts w:ascii="Franklin Gothic Medium" w:hAnsi="Franklin Gothic Medium" w:cs="Tahoma"/>
          <w:color w:val="2A3190"/>
          <w:sz w:val="28"/>
          <w:szCs w:val="28"/>
        </w:rPr>
        <w:t>Stability</w:t>
      </w:r>
      <w:r>
        <w:rPr>
          <w:rFonts w:ascii="Franklin Gothic Medium" w:hAnsi="Franklin Gothic Medium" w:cs="Tahoma"/>
          <w:color w:val="2A3190"/>
          <w:sz w:val="28"/>
          <w:szCs w:val="28"/>
        </w:rPr>
        <w:t xml:space="preserve"> Assessment Tool: </w:t>
      </w:r>
    </w:p>
    <w:p w14:paraId="137F339D" w14:textId="70721914" w:rsidR="00803AD7" w:rsidRDefault="00152FAF" w:rsidP="00803AD7">
      <w:pPr>
        <w:spacing w:after="0" w:line="240" w:lineRule="auto"/>
        <w:jc w:val="center"/>
        <w:rPr>
          <w:rFonts w:ascii="Franklin Gothic Medium" w:hAnsi="Franklin Gothic Medium" w:cs="Tahoma"/>
          <w:color w:val="2A3190"/>
          <w:sz w:val="28"/>
          <w:szCs w:val="28"/>
        </w:rPr>
      </w:pPr>
      <w:r>
        <w:rPr>
          <w:rFonts w:ascii="Franklin Gothic Medium" w:hAnsi="Franklin Gothic Medium" w:cs="Tahoma"/>
          <w:color w:val="2A3190"/>
          <w:sz w:val="28"/>
          <w:szCs w:val="28"/>
        </w:rPr>
        <w:t xml:space="preserve">Additional </w:t>
      </w:r>
      <w:r w:rsidR="00803AD7" w:rsidRPr="00051844">
        <w:rPr>
          <w:rFonts w:ascii="Franklin Gothic Medium" w:hAnsi="Franklin Gothic Medium" w:cs="Tahoma"/>
          <w:color w:val="2A3190"/>
          <w:sz w:val="28"/>
          <w:szCs w:val="28"/>
        </w:rPr>
        <w:t xml:space="preserve">Housing Stability </w:t>
      </w:r>
      <w:r w:rsidR="00803AD7">
        <w:rPr>
          <w:rFonts w:ascii="Franklin Gothic Medium" w:hAnsi="Franklin Gothic Medium" w:cs="Tahoma"/>
          <w:color w:val="2A3190"/>
          <w:sz w:val="28"/>
          <w:szCs w:val="28"/>
        </w:rPr>
        <w:t>Resources</w:t>
      </w:r>
    </w:p>
    <w:p w14:paraId="2C52FB21" w14:textId="17C59F5B" w:rsidR="00803AD7" w:rsidRDefault="00803AD7" w:rsidP="00803AD7">
      <w:pPr>
        <w:spacing w:after="0" w:line="240" w:lineRule="auto"/>
        <w:jc w:val="center"/>
        <w:rPr>
          <w:rFonts w:ascii="Franklin Gothic Medium" w:hAnsi="Franklin Gothic Medium" w:cs="Tahoma"/>
          <w:color w:val="2A3190"/>
          <w:sz w:val="28"/>
          <w:szCs w:val="28"/>
        </w:rPr>
      </w:pPr>
      <w:r w:rsidRPr="00051844">
        <w:rPr>
          <w:rFonts w:ascii="Franklin Gothic Medium" w:hAnsi="Franklin Gothic Medium" w:cs="Tahoma"/>
          <w:color w:val="2A3190"/>
          <w:sz w:val="28"/>
          <w:szCs w:val="28"/>
        </w:rPr>
        <w:t xml:space="preserve"> </w:t>
      </w:r>
    </w:p>
    <w:p w14:paraId="03549747" w14:textId="23E5A137" w:rsidR="000452F4" w:rsidRDefault="000452F4" w:rsidP="000452F4">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Here are some examples </w:t>
      </w:r>
      <w:r w:rsidR="00193912">
        <w:rPr>
          <w:rFonts w:ascii="Franklin Gothic Book" w:eastAsia="Franklin Gothic Book" w:hAnsi="Franklin Gothic Book" w:cs="Franklin Gothic Book"/>
          <w:sz w:val="20"/>
          <w:szCs w:val="20"/>
        </w:rPr>
        <w:t>of</w:t>
      </w:r>
      <w:r w:rsidR="00193912" w:rsidRPr="11F8BCAF">
        <w:rPr>
          <w:rFonts w:ascii="Franklin Gothic Book" w:eastAsia="Franklin Gothic Book" w:hAnsi="Franklin Gothic Book" w:cs="Franklin Gothic Book"/>
          <w:sz w:val="20"/>
          <w:szCs w:val="20"/>
        </w:rPr>
        <w:t xml:space="preserve"> </w:t>
      </w:r>
      <w:r w:rsidR="00152FAF">
        <w:rPr>
          <w:rFonts w:ascii="Franklin Gothic Book" w:eastAsia="Franklin Gothic Book" w:hAnsi="Franklin Gothic Book" w:cs="Franklin Gothic Book"/>
          <w:sz w:val="20"/>
          <w:szCs w:val="20"/>
        </w:rPr>
        <w:t xml:space="preserve">additional </w:t>
      </w:r>
      <w:r w:rsidRPr="11F8BCAF">
        <w:rPr>
          <w:rFonts w:ascii="Franklin Gothic Book" w:eastAsia="Franklin Gothic Book" w:hAnsi="Franklin Gothic Book" w:cs="Franklin Gothic Book"/>
          <w:sz w:val="20"/>
          <w:szCs w:val="20"/>
        </w:rPr>
        <w:t>resources on housing instability assessments:</w:t>
      </w:r>
    </w:p>
    <w:p w14:paraId="29BCA2A3" w14:textId="51F0C90A" w:rsidR="000452F4" w:rsidRDefault="00F54678" w:rsidP="000452F4">
      <w:pPr>
        <w:rPr>
          <w:rFonts w:ascii="Franklin Gothic Book" w:eastAsia="Franklin Gothic Book" w:hAnsi="Franklin Gothic Book" w:cs="Franklin Gothic Book"/>
          <w:sz w:val="18"/>
          <w:szCs w:val="18"/>
        </w:rPr>
      </w:pPr>
      <w:r>
        <w:rPr>
          <w:rFonts w:ascii="Franklin Gothic Demi" w:eastAsia="Franklin Gothic Demi" w:hAnsi="Franklin Gothic Demi" w:cs="Franklin Gothic Demi"/>
          <w:sz w:val="20"/>
          <w:szCs w:val="20"/>
        </w:rPr>
        <w:t>1</w:t>
      </w:r>
      <w:r w:rsidR="000452F4" w:rsidRPr="11F8BCAF">
        <w:rPr>
          <w:rFonts w:ascii="Franklin Gothic Demi" w:eastAsia="Franklin Gothic Demi" w:hAnsi="Franklin Gothic Demi" w:cs="Franklin Gothic Demi"/>
          <w:sz w:val="20"/>
          <w:szCs w:val="20"/>
        </w:rPr>
        <w:t xml:space="preserve">. </w:t>
      </w:r>
      <w:hyperlink r:id="rId7" w:history="1">
        <w:r w:rsidR="000452F4" w:rsidRPr="00193912">
          <w:rPr>
            <w:rStyle w:val="Hyperlink"/>
            <w:rFonts w:ascii="Franklin Gothic Demi" w:eastAsia="Franklin Gothic Demi" w:hAnsi="Franklin Gothic Demi" w:cs="Franklin Gothic Demi"/>
            <w:sz w:val="20"/>
            <w:szCs w:val="20"/>
          </w:rPr>
          <w:t>VI-SPDAT (Vulnerability Index</w:t>
        </w:r>
        <w:r w:rsidR="00193912" w:rsidRPr="00193912">
          <w:rPr>
            <w:rStyle w:val="Hyperlink"/>
            <w:rFonts w:ascii="Franklin Gothic Demi" w:eastAsia="Franklin Gothic Demi" w:hAnsi="Franklin Gothic Demi" w:cs="Franklin Gothic Demi"/>
            <w:sz w:val="20"/>
            <w:szCs w:val="20"/>
          </w:rPr>
          <w:t>—</w:t>
        </w:r>
        <w:r w:rsidR="000452F4" w:rsidRPr="00193912">
          <w:rPr>
            <w:rStyle w:val="Hyperlink"/>
            <w:rFonts w:ascii="Franklin Gothic Demi" w:eastAsia="Franklin Gothic Demi" w:hAnsi="Franklin Gothic Demi" w:cs="Franklin Gothic Demi"/>
            <w:sz w:val="20"/>
            <w:szCs w:val="20"/>
          </w:rPr>
          <w:t>Service Prioritization Decision Assistance Tool)</w:t>
        </w:r>
      </w:hyperlink>
      <w:r w:rsidR="000452F4" w:rsidRPr="11F8BCAF">
        <w:rPr>
          <w:rFonts w:ascii="Franklin Gothic Demi" w:eastAsia="Franklin Gothic Demi" w:hAnsi="Franklin Gothic Demi" w:cs="Franklin Gothic Demi"/>
          <w:sz w:val="20"/>
          <w:szCs w:val="20"/>
        </w:rPr>
        <w:t>:</w:t>
      </w:r>
      <w:r w:rsidR="000452F4" w:rsidRPr="11F8BCAF">
        <w:rPr>
          <w:rFonts w:ascii="Franklin Gothic Book" w:eastAsia="Franklin Gothic Book" w:hAnsi="Franklin Gothic Book" w:cs="Franklin Gothic Book"/>
          <w:sz w:val="20"/>
          <w:szCs w:val="20"/>
        </w:rPr>
        <w:t xml:space="preserve"> This assessment tool is commonly used by homeless service providers to assess an individual or family's vulnerability to homelessness</w:t>
      </w:r>
      <w:r w:rsidR="00193912">
        <w:rPr>
          <w:rFonts w:ascii="Franklin Gothic Book" w:eastAsia="Franklin Gothic Book" w:hAnsi="Franklin Gothic Book" w:cs="Franklin Gothic Book"/>
          <w:sz w:val="20"/>
          <w:szCs w:val="20"/>
        </w:rPr>
        <w:t>,</w:t>
      </w:r>
      <w:r w:rsidR="000452F4" w:rsidRPr="11F8BCAF">
        <w:rPr>
          <w:rFonts w:ascii="Franklin Gothic Book" w:eastAsia="Franklin Gothic Book" w:hAnsi="Franklin Gothic Book" w:cs="Franklin Gothic Book"/>
          <w:sz w:val="20"/>
          <w:szCs w:val="20"/>
        </w:rPr>
        <w:t xml:space="preserve"> prioritiz</w:t>
      </w:r>
      <w:r w:rsidR="00193912">
        <w:rPr>
          <w:rFonts w:ascii="Franklin Gothic Book" w:eastAsia="Franklin Gothic Book" w:hAnsi="Franklin Gothic Book" w:cs="Franklin Gothic Book"/>
          <w:sz w:val="20"/>
          <w:szCs w:val="20"/>
        </w:rPr>
        <w:t>ing</w:t>
      </w:r>
      <w:r w:rsidR="000452F4" w:rsidRPr="11F8BCAF">
        <w:rPr>
          <w:rFonts w:ascii="Franklin Gothic Book" w:eastAsia="Franklin Gothic Book" w:hAnsi="Franklin Gothic Book" w:cs="Franklin Gothic Book"/>
          <w:sz w:val="20"/>
          <w:szCs w:val="20"/>
        </w:rPr>
        <w:t xml:space="preserve"> assistance based on need. It includes questions related to housing history, income, health status, and other factors contributing to housing instability. There are several different types of VI-SPDAT tools to assess an individual or family’s housing status. </w:t>
      </w:r>
    </w:p>
    <w:p w14:paraId="66E7471C" w14:textId="21E9FA89" w:rsidR="000452F4" w:rsidRDefault="00F54678" w:rsidP="000452F4">
      <w:pPr>
        <w:rPr>
          <w:rFonts w:ascii="Franklin Gothic Book" w:eastAsia="Franklin Gothic Book" w:hAnsi="Franklin Gothic Book" w:cs="Franklin Gothic Book"/>
          <w:b/>
          <w:bCs/>
          <w:sz w:val="20"/>
          <w:szCs w:val="20"/>
        </w:rPr>
      </w:pPr>
      <w:r>
        <w:rPr>
          <w:rFonts w:ascii="Franklin Gothic Demi" w:eastAsia="Franklin Gothic Demi" w:hAnsi="Franklin Gothic Demi" w:cs="Franklin Gothic Demi"/>
          <w:sz w:val="20"/>
          <w:szCs w:val="20"/>
        </w:rPr>
        <w:t>2</w:t>
      </w:r>
      <w:r w:rsidR="000452F4" w:rsidRPr="11F8BCAF">
        <w:rPr>
          <w:rFonts w:ascii="Franklin Gothic Demi" w:eastAsia="Franklin Gothic Demi" w:hAnsi="Franklin Gothic Demi" w:cs="Franklin Gothic Demi"/>
          <w:sz w:val="20"/>
          <w:szCs w:val="20"/>
        </w:rPr>
        <w:t xml:space="preserve">. </w:t>
      </w:r>
      <w:hyperlink r:id="rId8" w:history="1">
        <w:r w:rsidR="000452F4" w:rsidRPr="00193912">
          <w:rPr>
            <w:rStyle w:val="Hyperlink"/>
            <w:rFonts w:ascii="Franklin Gothic Demi" w:eastAsia="Franklin Gothic Demi" w:hAnsi="Franklin Gothic Demi" w:cs="Franklin Gothic Demi"/>
            <w:sz w:val="20"/>
            <w:szCs w:val="20"/>
          </w:rPr>
          <w:t>Rental Housing Stability Assessment (RHSA)</w:t>
        </w:r>
      </w:hyperlink>
      <w:r w:rsidR="000452F4" w:rsidRPr="11F8BCAF">
        <w:rPr>
          <w:rFonts w:ascii="Franklin Gothic Demi" w:eastAsia="Franklin Gothic Demi" w:hAnsi="Franklin Gothic Demi" w:cs="Franklin Gothic Demi"/>
          <w:sz w:val="20"/>
          <w:szCs w:val="20"/>
        </w:rPr>
        <w:t xml:space="preserve">: </w:t>
      </w:r>
      <w:r w:rsidR="000452F4" w:rsidRPr="11F8BCAF">
        <w:rPr>
          <w:rFonts w:ascii="Franklin Gothic Book" w:eastAsia="Franklin Gothic Book" w:hAnsi="Franklin Gothic Book" w:cs="Franklin Gothic Book"/>
          <w:sz w:val="20"/>
          <w:szCs w:val="20"/>
        </w:rPr>
        <w:t xml:space="preserve">Developed by the National Alliance to End Homelessness, the RHSA is designed to assess the stability of an individual or family's current rental housing situation and identify potential risks of homelessness. It includes questions related to income, housing expenses, eviction history, and access to supportive services. </w:t>
      </w:r>
    </w:p>
    <w:p w14:paraId="7EA061E2" w14:textId="4D736A8B" w:rsidR="000452F4" w:rsidRDefault="00F54678" w:rsidP="000452F4">
      <w:pPr>
        <w:rPr>
          <w:rFonts w:ascii="Franklin Gothic Book" w:eastAsia="Franklin Gothic Book" w:hAnsi="Franklin Gothic Book" w:cs="Franklin Gothic Book"/>
          <w:b/>
          <w:bCs/>
          <w:sz w:val="20"/>
          <w:szCs w:val="20"/>
        </w:rPr>
      </w:pPr>
      <w:r>
        <w:rPr>
          <w:rFonts w:ascii="Franklin Gothic Demi" w:eastAsia="Franklin Gothic Demi" w:hAnsi="Franklin Gothic Demi" w:cs="Franklin Gothic Demi"/>
          <w:sz w:val="20"/>
          <w:szCs w:val="20"/>
        </w:rPr>
        <w:t>3</w:t>
      </w:r>
      <w:r w:rsidR="000452F4" w:rsidRPr="11F8BCAF">
        <w:rPr>
          <w:rFonts w:ascii="Franklin Gothic Demi" w:eastAsia="Franklin Gothic Demi" w:hAnsi="Franklin Gothic Demi" w:cs="Franklin Gothic Demi"/>
          <w:sz w:val="20"/>
          <w:szCs w:val="20"/>
        </w:rPr>
        <w:t xml:space="preserve">. </w:t>
      </w:r>
      <w:hyperlink r:id="rId9" w:history="1">
        <w:r w:rsidR="000452F4" w:rsidRPr="00193912">
          <w:rPr>
            <w:rStyle w:val="Hyperlink"/>
            <w:rFonts w:ascii="Franklin Gothic Demi" w:eastAsia="Franklin Gothic Demi" w:hAnsi="Franklin Gothic Demi" w:cs="Franklin Gothic Demi"/>
            <w:sz w:val="20"/>
            <w:szCs w:val="20"/>
          </w:rPr>
          <w:t>Housing Stability Index</w:t>
        </w:r>
      </w:hyperlink>
      <w:r w:rsidR="000452F4" w:rsidRPr="11F8BCAF">
        <w:rPr>
          <w:rFonts w:ascii="Franklin Gothic Demi" w:eastAsia="Franklin Gothic Demi" w:hAnsi="Franklin Gothic Demi" w:cs="Franklin Gothic Demi"/>
          <w:sz w:val="20"/>
          <w:szCs w:val="20"/>
        </w:rPr>
        <w:t xml:space="preserve">: </w:t>
      </w:r>
      <w:r w:rsidR="000452F4" w:rsidRPr="11F8BCAF">
        <w:rPr>
          <w:rFonts w:ascii="Franklin Gothic Book" w:eastAsia="Franklin Gothic Book" w:hAnsi="Franklin Gothic Book" w:cs="Franklin Gothic Book"/>
          <w:sz w:val="20"/>
          <w:szCs w:val="20"/>
        </w:rPr>
        <w:t>This index, developed by the Canadian Observatory on Homelessness, measures the stability of an individual or family's housing situation based on factors such as housing tenure, affordability, overcrowding, and housing quality. It provides a comprehensive assessment of housing stability and can inform targeted interventions to address housing-related challenges.</w:t>
      </w:r>
      <w:r w:rsidR="00193912" w:rsidDel="00193912">
        <w:t xml:space="preserve"> </w:t>
      </w:r>
    </w:p>
    <w:p w14:paraId="239C2580" w14:textId="3DD30468" w:rsidR="000452F4" w:rsidRDefault="00F54678" w:rsidP="000452F4">
      <w:pPr>
        <w:rPr>
          <w:rFonts w:ascii="Franklin Gothic Book" w:eastAsia="Franklin Gothic Book" w:hAnsi="Franklin Gothic Book" w:cs="Franklin Gothic Book"/>
          <w:sz w:val="18"/>
          <w:szCs w:val="18"/>
        </w:rPr>
      </w:pPr>
      <w:r>
        <w:rPr>
          <w:rFonts w:ascii="Franklin Gothic Demi" w:eastAsia="Franklin Gothic Demi" w:hAnsi="Franklin Gothic Demi" w:cs="Franklin Gothic Demi"/>
          <w:sz w:val="20"/>
          <w:szCs w:val="20"/>
        </w:rPr>
        <w:t>4</w:t>
      </w:r>
      <w:r w:rsidR="000452F4" w:rsidRPr="11F8BCAF">
        <w:rPr>
          <w:rFonts w:ascii="Franklin Gothic Demi" w:eastAsia="Franklin Gothic Demi" w:hAnsi="Franklin Gothic Demi" w:cs="Franklin Gothic Demi"/>
          <w:sz w:val="20"/>
          <w:szCs w:val="20"/>
        </w:rPr>
        <w:t>. Homelessness Prevention and Housing Stability Services</w:t>
      </w:r>
      <w:r w:rsidR="0029104C">
        <w:rPr>
          <w:rFonts w:ascii="Franklin Gothic Demi" w:eastAsia="Franklin Gothic Demi" w:hAnsi="Franklin Gothic Demi" w:cs="Franklin Gothic Demi"/>
          <w:sz w:val="20"/>
          <w:szCs w:val="20"/>
        </w:rPr>
        <w:t xml:space="preserve">: </w:t>
      </w:r>
      <w:r w:rsidR="000452F4" w:rsidRPr="11F8BCAF">
        <w:rPr>
          <w:rFonts w:ascii="Franklin Gothic Book" w:eastAsia="Franklin Gothic Book" w:hAnsi="Franklin Gothic Book" w:cs="Franklin Gothic Book"/>
          <w:sz w:val="20"/>
          <w:szCs w:val="20"/>
        </w:rPr>
        <w:t>Many community-based organizations and non-profit agencies offer homelessness prevention and housing stability services, which often include assessments of housing instability and barriers to stable housing. These services may include financial assistance, rental subsidies, housing counseling, and advocacy support.</w:t>
      </w:r>
    </w:p>
    <w:p w14:paraId="38576363" w14:textId="22D289DF" w:rsidR="000452F4" w:rsidRDefault="00F54678" w:rsidP="000452F4">
      <w:pPr>
        <w:rPr>
          <w:rFonts w:ascii="Franklin Gothic Book" w:eastAsia="Franklin Gothic Book" w:hAnsi="Franklin Gothic Book" w:cs="Franklin Gothic Book"/>
          <w:sz w:val="18"/>
          <w:szCs w:val="18"/>
        </w:rPr>
      </w:pPr>
      <w:r>
        <w:rPr>
          <w:rFonts w:ascii="Franklin Gothic Demi" w:eastAsia="Franklin Gothic Demi" w:hAnsi="Franklin Gothic Demi" w:cs="Franklin Gothic Demi"/>
          <w:sz w:val="20"/>
          <w:szCs w:val="20"/>
        </w:rPr>
        <w:t>5</w:t>
      </w:r>
      <w:r w:rsidR="000452F4" w:rsidRPr="11F8BCAF">
        <w:rPr>
          <w:rFonts w:ascii="Franklin Gothic Demi" w:eastAsia="Franklin Gothic Demi" w:hAnsi="Franklin Gothic Demi" w:cs="Franklin Gothic Demi"/>
          <w:sz w:val="20"/>
          <w:szCs w:val="20"/>
        </w:rPr>
        <w:t>. Local Government and Social Service Agencies:</w:t>
      </w:r>
      <w:r w:rsidR="000452F4" w:rsidRPr="11F8BCAF">
        <w:rPr>
          <w:rFonts w:ascii="Franklin Gothic Book" w:eastAsia="Franklin Gothic Book" w:hAnsi="Franklin Gothic Book" w:cs="Franklin Gothic Book"/>
          <w:b/>
          <w:bCs/>
          <w:sz w:val="20"/>
          <w:szCs w:val="20"/>
        </w:rPr>
        <w:t xml:space="preserve"> </w:t>
      </w:r>
      <w:r w:rsidR="000452F4" w:rsidRPr="11F8BCAF">
        <w:rPr>
          <w:rFonts w:ascii="Franklin Gothic Book" w:eastAsia="Franklin Gothic Book" w:hAnsi="Franklin Gothic Book" w:cs="Franklin Gothic Book"/>
          <w:sz w:val="20"/>
          <w:szCs w:val="20"/>
        </w:rPr>
        <w:t>Local government agencies, such as housing authorities and social service departments, often conduct assessments of housing instability as part of their efforts to address homelessness and housing insecurity. These assessments may be incorporated into broader needs assessments or eligibility determinations for housing assistance programs.</w:t>
      </w:r>
    </w:p>
    <w:p w14:paraId="797FF252" w14:textId="399C8471" w:rsidR="0079384E" w:rsidRDefault="000452F4">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These resources illustrate the various approaches and tools available for assessing housing instability and supporting individuals and families in achieving stable housing. Depending on the context and population served, organizations may utilize one or more of these assessments to tailor interventions and services to meet the unique needs of their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s.</w:t>
      </w:r>
    </w:p>
    <w:p w14:paraId="36365B82" w14:textId="77777777" w:rsidR="0079384E" w:rsidRDefault="0079384E">
      <w:pPr>
        <w:rPr>
          <w:rFonts w:ascii="Franklin Gothic Book" w:eastAsia="Franklin Gothic Book" w:hAnsi="Franklin Gothic Book" w:cs="Franklin Gothic Book"/>
          <w:sz w:val="20"/>
          <w:szCs w:val="20"/>
        </w:rPr>
      </w:pPr>
    </w:p>
    <w:p w14:paraId="0F36B37B" w14:textId="77777777" w:rsidR="00152FAF" w:rsidRDefault="00152FAF">
      <w:pPr>
        <w:rPr>
          <w:rFonts w:ascii="Franklin Gothic Book" w:eastAsia="Franklin Gothic Book" w:hAnsi="Franklin Gothic Book" w:cs="Franklin Gothic Book"/>
          <w:sz w:val="20"/>
          <w:szCs w:val="20"/>
        </w:rPr>
      </w:pPr>
    </w:p>
    <w:p w14:paraId="2766F8B9" w14:textId="77777777" w:rsidR="0079384E" w:rsidRDefault="0079384E">
      <w:pPr>
        <w:rPr>
          <w:rFonts w:ascii="Franklin Gothic Book" w:eastAsia="Franklin Gothic Book" w:hAnsi="Franklin Gothic Book" w:cs="Franklin Gothic Book"/>
          <w:sz w:val="20"/>
          <w:szCs w:val="20"/>
        </w:rPr>
      </w:pPr>
    </w:p>
    <w:p w14:paraId="3E033694" w14:textId="77777777" w:rsidR="0079384E" w:rsidRPr="00152FAF" w:rsidRDefault="0079384E" w:rsidP="0079384E">
      <w:pPr>
        <w:rPr>
          <w:rFonts w:ascii="Franklin Gothic Book" w:hAnsi="Franklin Gothic Book"/>
          <w:i/>
          <w:iCs/>
          <w:sz w:val="18"/>
          <w:szCs w:val="18"/>
        </w:rPr>
      </w:pPr>
      <w:r w:rsidRPr="00152FAF">
        <w:rPr>
          <w:rFonts w:ascii="Franklin Gothic Book" w:hAnsi="Franklin Gothic Book"/>
          <w:i/>
          <w:iCs/>
          <w:sz w:val="18"/>
          <w:szCs w:val="18"/>
        </w:rPr>
        <w:t xml:space="preserve">The IRC received competitive funding through the U.S. Department of Health and Human Services, Administration for Children and Families, Grant #90RB0052 and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p w14:paraId="19B13321" w14:textId="77777777" w:rsidR="0079384E" w:rsidRPr="000452F4" w:rsidRDefault="0079384E">
      <w:pPr>
        <w:rPr>
          <w:rFonts w:ascii="Franklin Gothic Book" w:eastAsia="Franklin Gothic Book" w:hAnsi="Franklin Gothic Book" w:cs="Franklin Gothic Book"/>
          <w:sz w:val="18"/>
          <w:szCs w:val="18"/>
        </w:rPr>
      </w:pPr>
    </w:p>
    <w:sectPr w:rsidR="0079384E" w:rsidRPr="000452F4" w:rsidSect="00A83BF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AE8D" w14:textId="77777777" w:rsidR="00A83BF6" w:rsidRDefault="00A83BF6">
      <w:pPr>
        <w:spacing w:after="0" w:line="240" w:lineRule="auto"/>
      </w:pPr>
      <w:r>
        <w:separator/>
      </w:r>
    </w:p>
  </w:endnote>
  <w:endnote w:type="continuationSeparator" w:id="0">
    <w:p w14:paraId="1D72321F" w14:textId="77777777" w:rsidR="00A83BF6" w:rsidRDefault="00A8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73E7" w14:textId="77777777" w:rsidR="00A83BF6" w:rsidRDefault="00A83BF6">
      <w:pPr>
        <w:spacing w:after="0" w:line="240" w:lineRule="auto"/>
      </w:pPr>
      <w:r>
        <w:separator/>
      </w:r>
    </w:p>
  </w:footnote>
  <w:footnote w:type="continuationSeparator" w:id="0">
    <w:p w14:paraId="0327E027" w14:textId="77777777" w:rsidR="00A83BF6" w:rsidRDefault="00A83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C6E4" w14:textId="63FFD66A" w:rsidR="000452F4" w:rsidRDefault="000452F4">
    <w:pPr>
      <w:pStyle w:val="Header"/>
      <w:jc w:val="right"/>
    </w:pPr>
  </w:p>
  <w:p w14:paraId="39D9E09C" w14:textId="77777777" w:rsidR="000452F4" w:rsidRDefault="00045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F4"/>
    <w:rsid w:val="000452F4"/>
    <w:rsid w:val="00092DEE"/>
    <w:rsid w:val="000E6FC0"/>
    <w:rsid w:val="00152FAF"/>
    <w:rsid w:val="00193912"/>
    <w:rsid w:val="0029104C"/>
    <w:rsid w:val="00471B66"/>
    <w:rsid w:val="004F5C11"/>
    <w:rsid w:val="00500848"/>
    <w:rsid w:val="0079384E"/>
    <w:rsid w:val="007F1978"/>
    <w:rsid w:val="00803AD7"/>
    <w:rsid w:val="00902BA7"/>
    <w:rsid w:val="00A83BF6"/>
    <w:rsid w:val="00D94398"/>
    <w:rsid w:val="00EB52FD"/>
    <w:rsid w:val="00ED6BE7"/>
    <w:rsid w:val="00F54678"/>
    <w:rsid w:val="00F81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83BAC"/>
  <w15:chartTrackingRefBased/>
  <w15:docId w15:val="{595BF7D0-69A2-4F2A-A935-108E02F1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F4"/>
    <w:pPr>
      <w:spacing w:line="279" w:lineRule="auto"/>
    </w:pPr>
    <w:rPr>
      <w:rFonts w:asciiTheme="minorHAnsi" w:eastAsiaTheme="minorEastAsia" w:hAnsiTheme="minorHAnsi"/>
      <w:kern w:val="0"/>
      <w:sz w:val="24"/>
      <w:szCs w:val="24"/>
      <w:lang w:eastAsia="ja-JP"/>
      <w14:ligatures w14:val="none"/>
    </w:rPr>
  </w:style>
  <w:style w:type="paragraph" w:styleId="Heading1">
    <w:name w:val="heading 1"/>
    <w:basedOn w:val="Normal"/>
    <w:next w:val="Normal"/>
    <w:link w:val="Heading1Char"/>
    <w:uiPriority w:val="9"/>
    <w:qFormat/>
    <w:rsid w:val="000452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452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452F4"/>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452F4"/>
    <w:pPr>
      <w:keepNext/>
      <w:keepLines/>
      <w:spacing w:before="80" w:after="40" w:line="259" w:lineRule="auto"/>
      <w:outlineLvl w:val="3"/>
    </w:pPr>
    <w:rPr>
      <w:rFonts w:eastAsiaTheme="majorEastAsia"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452F4"/>
    <w:pPr>
      <w:keepNext/>
      <w:keepLines/>
      <w:spacing w:before="80" w:after="40" w:line="259" w:lineRule="auto"/>
      <w:outlineLvl w:val="4"/>
    </w:pPr>
    <w:rPr>
      <w:rFonts w:eastAsiaTheme="majorEastAsia"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452F4"/>
    <w:pPr>
      <w:keepNext/>
      <w:keepLines/>
      <w:spacing w:before="40" w:after="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452F4"/>
    <w:pPr>
      <w:keepNext/>
      <w:keepLines/>
      <w:spacing w:before="40" w:after="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452F4"/>
    <w:pPr>
      <w:keepNext/>
      <w:keepLines/>
      <w:spacing w:after="0"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452F4"/>
    <w:pPr>
      <w:keepNext/>
      <w:keepLines/>
      <w:spacing w:after="0"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2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52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52F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52F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452F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452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52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52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52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52F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45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2F4"/>
    <w:pPr>
      <w:numPr>
        <w:ilvl w:val="1"/>
      </w:numPr>
      <w:spacing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452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52F4"/>
    <w:pPr>
      <w:spacing w:before="160" w:line="259" w:lineRule="auto"/>
      <w:jc w:val="center"/>
    </w:pPr>
    <w:rPr>
      <w:rFonts w:ascii="Arial" w:eastAsiaTheme="minorHAnsi" w:hAnsi="Arial"/>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452F4"/>
    <w:rPr>
      <w:i/>
      <w:iCs/>
      <w:color w:val="404040" w:themeColor="text1" w:themeTint="BF"/>
    </w:rPr>
  </w:style>
  <w:style w:type="paragraph" w:styleId="ListParagraph">
    <w:name w:val="List Paragraph"/>
    <w:basedOn w:val="Normal"/>
    <w:uiPriority w:val="34"/>
    <w:qFormat/>
    <w:rsid w:val="000452F4"/>
    <w:pPr>
      <w:spacing w:line="259" w:lineRule="auto"/>
      <w:ind w:left="720"/>
      <w:contextualSpacing/>
    </w:pPr>
    <w:rPr>
      <w:rFonts w:ascii="Arial" w:eastAsiaTheme="minorHAnsi" w:hAnsi="Arial"/>
      <w:kern w:val="2"/>
      <w:sz w:val="22"/>
      <w:szCs w:val="22"/>
      <w:lang w:eastAsia="en-US"/>
      <w14:ligatures w14:val="standardContextual"/>
    </w:rPr>
  </w:style>
  <w:style w:type="character" w:styleId="IntenseEmphasis">
    <w:name w:val="Intense Emphasis"/>
    <w:basedOn w:val="DefaultParagraphFont"/>
    <w:uiPriority w:val="21"/>
    <w:qFormat/>
    <w:rsid w:val="000452F4"/>
    <w:rPr>
      <w:i/>
      <w:iCs/>
      <w:color w:val="2F5496" w:themeColor="accent1" w:themeShade="BF"/>
    </w:rPr>
  </w:style>
  <w:style w:type="paragraph" w:styleId="IntenseQuote">
    <w:name w:val="Intense Quote"/>
    <w:basedOn w:val="Normal"/>
    <w:next w:val="Normal"/>
    <w:link w:val="IntenseQuoteChar"/>
    <w:uiPriority w:val="30"/>
    <w:qFormat/>
    <w:rsid w:val="000452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Arial" w:eastAsiaTheme="minorHAnsi" w:hAnsi="Arial"/>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452F4"/>
    <w:rPr>
      <w:i/>
      <w:iCs/>
      <w:color w:val="2F5496" w:themeColor="accent1" w:themeShade="BF"/>
    </w:rPr>
  </w:style>
  <w:style w:type="character" w:styleId="IntenseReference">
    <w:name w:val="Intense Reference"/>
    <w:basedOn w:val="DefaultParagraphFont"/>
    <w:uiPriority w:val="32"/>
    <w:qFormat/>
    <w:rsid w:val="000452F4"/>
    <w:rPr>
      <w:b/>
      <w:bCs/>
      <w:smallCaps/>
      <w:color w:val="2F5496" w:themeColor="accent1" w:themeShade="BF"/>
      <w:spacing w:val="5"/>
    </w:rPr>
  </w:style>
  <w:style w:type="character" w:styleId="Hyperlink">
    <w:name w:val="Hyperlink"/>
    <w:basedOn w:val="DefaultParagraphFont"/>
    <w:uiPriority w:val="99"/>
    <w:unhideWhenUsed/>
    <w:rsid w:val="000452F4"/>
    <w:rPr>
      <w:color w:val="0563C1" w:themeColor="hyperlink"/>
      <w:u w:val="single"/>
    </w:rPr>
  </w:style>
  <w:style w:type="paragraph" w:styleId="Header">
    <w:name w:val="header"/>
    <w:basedOn w:val="Normal"/>
    <w:link w:val="HeaderChar"/>
    <w:uiPriority w:val="99"/>
    <w:unhideWhenUsed/>
    <w:rsid w:val="00045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F4"/>
    <w:rPr>
      <w:rFonts w:asciiTheme="minorHAnsi" w:eastAsiaTheme="minorEastAsia" w:hAnsiTheme="minorHAnsi"/>
      <w:kern w:val="0"/>
      <w:sz w:val="24"/>
      <w:szCs w:val="24"/>
      <w:lang w:eastAsia="ja-JP"/>
      <w14:ligatures w14:val="none"/>
    </w:rPr>
  </w:style>
  <w:style w:type="paragraph" w:styleId="Revision">
    <w:name w:val="Revision"/>
    <w:hidden/>
    <w:uiPriority w:val="99"/>
    <w:semiHidden/>
    <w:rsid w:val="00193912"/>
    <w:pPr>
      <w:spacing w:after="0" w:line="240" w:lineRule="auto"/>
    </w:pPr>
    <w:rPr>
      <w:rFonts w:asciiTheme="minorHAnsi" w:eastAsiaTheme="minorEastAsia" w:hAnsiTheme="minorHAnsi"/>
      <w:kern w:val="0"/>
      <w:sz w:val="24"/>
      <w:szCs w:val="24"/>
      <w:lang w:eastAsia="ja-JP"/>
      <w14:ligatures w14:val="none"/>
    </w:rPr>
  </w:style>
  <w:style w:type="character" w:styleId="FollowedHyperlink">
    <w:name w:val="FollowedHyperlink"/>
    <w:basedOn w:val="DefaultParagraphFont"/>
    <w:uiPriority w:val="99"/>
    <w:semiHidden/>
    <w:unhideWhenUsed/>
    <w:rsid w:val="00193912"/>
    <w:rPr>
      <w:color w:val="954F72" w:themeColor="followedHyperlink"/>
      <w:u w:val="single"/>
    </w:rPr>
  </w:style>
  <w:style w:type="character" w:styleId="UnresolvedMention">
    <w:name w:val="Unresolved Mention"/>
    <w:basedOn w:val="DefaultParagraphFont"/>
    <w:uiPriority w:val="99"/>
    <w:semiHidden/>
    <w:unhideWhenUsed/>
    <w:rsid w:val="00193912"/>
    <w:rPr>
      <w:color w:val="605E5C"/>
      <w:shd w:val="clear" w:color="auto" w:fill="E1DFDD"/>
    </w:rPr>
  </w:style>
  <w:style w:type="character" w:styleId="CommentReference">
    <w:name w:val="annotation reference"/>
    <w:basedOn w:val="DefaultParagraphFont"/>
    <w:uiPriority w:val="99"/>
    <w:semiHidden/>
    <w:unhideWhenUsed/>
    <w:rsid w:val="007F1978"/>
    <w:rPr>
      <w:sz w:val="16"/>
      <w:szCs w:val="16"/>
    </w:rPr>
  </w:style>
  <w:style w:type="paragraph" w:styleId="CommentText">
    <w:name w:val="annotation text"/>
    <w:basedOn w:val="Normal"/>
    <w:link w:val="CommentTextChar"/>
    <w:uiPriority w:val="99"/>
    <w:unhideWhenUsed/>
    <w:rsid w:val="007F1978"/>
    <w:pPr>
      <w:spacing w:line="240" w:lineRule="auto"/>
    </w:pPr>
    <w:rPr>
      <w:sz w:val="20"/>
      <w:szCs w:val="20"/>
    </w:rPr>
  </w:style>
  <w:style w:type="character" w:customStyle="1" w:styleId="CommentTextChar">
    <w:name w:val="Comment Text Char"/>
    <w:basedOn w:val="DefaultParagraphFont"/>
    <w:link w:val="CommentText"/>
    <w:uiPriority w:val="99"/>
    <w:rsid w:val="007F1978"/>
    <w:rPr>
      <w:rFonts w:asciiTheme="minorHAnsi" w:eastAsiaTheme="minorEastAsia" w:hAnsiTheme="minorHAnsi"/>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7F1978"/>
    <w:rPr>
      <w:b/>
      <w:bCs/>
    </w:rPr>
  </w:style>
  <w:style w:type="character" w:customStyle="1" w:styleId="CommentSubjectChar">
    <w:name w:val="Comment Subject Char"/>
    <w:basedOn w:val="CommentTextChar"/>
    <w:link w:val="CommentSubject"/>
    <w:uiPriority w:val="99"/>
    <w:semiHidden/>
    <w:rsid w:val="007F1978"/>
    <w:rPr>
      <w:rFonts w:asciiTheme="minorHAnsi" w:eastAsiaTheme="minorEastAsia" w:hAnsiTheme="minorHAnsi"/>
      <w:b/>
      <w:bCs/>
      <w:kern w:val="0"/>
      <w:sz w:val="20"/>
      <w:szCs w:val="20"/>
      <w:lang w:eastAsia="ja-JP"/>
      <w14:ligatures w14:val="none"/>
    </w:rPr>
  </w:style>
  <w:style w:type="paragraph" w:styleId="Footer">
    <w:name w:val="footer"/>
    <w:basedOn w:val="Normal"/>
    <w:link w:val="FooterChar"/>
    <w:uiPriority w:val="99"/>
    <w:unhideWhenUsed/>
    <w:rsid w:val="00EB5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FD"/>
    <w:rPr>
      <w:rFonts w:asciiTheme="minorHAnsi" w:eastAsiaTheme="minorEastAsia" w:hAnsiTheme="minorHAnsi"/>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homelessness.org/resource/housing-first/" TargetMode="External"/><Relationship Id="rId3" Type="http://schemas.openxmlformats.org/officeDocument/2006/relationships/webSettings" Target="webSettings.xml"/><Relationship Id="rId7" Type="http://schemas.openxmlformats.org/officeDocument/2006/relationships/hyperlink" Target="https://letsendhomelessness.org/wp-content/uploads/2018/07/TAY-VI-SPDAT-v1-0-w.-Intro-Script.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onlinelibrary.wiley.com/doi/10.1002/jcop.21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Noubani</dc:creator>
  <cp:keywords/>
  <dc:description/>
  <cp:lastModifiedBy>Elizabeth Tompkins</cp:lastModifiedBy>
  <cp:revision>11</cp:revision>
  <dcterms:created xsi:type="dcterms:W3CDTF">2024-04-11T18:45:00Z</dcterms:created>
  <dcterms:modified xsi:type="dcterms:W3CDTF">2024-04-18T21:43:00Z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4e322c8bf19a000cf905d221e867b90b914303b3cd7aeea461bfbdc8f7a6523f</vt:lpwstr>
  </property>
</Properties>
</file>