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46C0" w14:textId="4813F204" w:rsidR="00645860" w:rsidRPr="00007337" w:rsidRDefault="00645860" w:rsidP="00645860">
      <w:pPr>
        <w:jc w:val="center"/>
        <w:rPr>
          <w:rFonts w:ascii="Franklin Gothic Demi" w:eastAsia="Franklin Gothic Demi" w:hAnsi="Franklin Gothic Demi" w:cs="Franklin Gothic Demi"/>
          <w:sz w:val="12"/>
          <w:szCs w:val="12"/>
        </w:rPr>
      </w:pPr>
      <w:r w:rsidRPr="00B65B84">
        <w:rPr>
          <w:rFonts w:ascii="Tahoma" w:hAnsi="Tahoma" w:cs="Tahoma"/>
          <w:b/>
          <w:noProof/>
          <w:sz w:val="36"/>
          <w:szCs w:val="52"/>
          <w:lang w:eastAsia="en-US"/>
        </w:rPr>
        <w:drawing>
          <wp:inline distT="0" distB="0" distL="0" distR="0" wp14:anchorId="40385B1F" wp14:editId="0F269145">
            <wp:extent cx="2350829" cy="592840"/>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rotWithShape="1">
                    <a:blip r:embed="rId4" cstate="print">
                      <a:extLst>
                        <a:ext uri="{28A0092B-C50C-407E-A947-70E740481C1C}">
                          <a14:useLocalDpi xmlns:a14="http://schemas.microsoft.com/office/drawing/2010/main" val="0"/>
                        </a:ext>
                      </a:extLst>
                    </a:blip>
                    <a:srcRect l="6996" t="13794" r="5683" b="12981"/>
                    <a:stretch/>
                  </pic:blipFill>
                  <pic:spPr bwMode="auto">
                    <a:xfrm>
                      <a:off x="0" y="0"/>
                      <a:ext cx="2381700" cy="600625"/>
                    </a:xfrm>
                    <a:prstGeom prst="rect">
                      <a:avLst/>
                    </a:prstGeom>
                    <a:ln>
                      <a:noFill/>
                    </a:ln>
                    <a:extLst>
                      <a:ext uri="{53640926-AAD7-44D8-BBD7-CCE9431645EC}">
                        <a14:shadowObscured xmlns:a14="http://schemas.microsoft.com/office/drawing/2010/main"/>
                      </a:ext>
                    </a:extLst>
                  </pic:spPr>
                </pic:pic>
              </a:graphicData>
            </a:graphic>
          </wp:inline>
        </w:drawing>
      </w:r>
    </w:p>
    <w:p w14:paraId="4C839C4D" w14:textId="61CFC2AA" w:rsidR="00007337" w:rsidRDefault="00007337" w:rsidP="00007337">
      <w:pPr>
        <w:spacing w:after="0" w:line="240" w:lineRule="auto"/>
        <w:jc w:val="center"/>
        <w:rPr>
          <w:rFonts w:ascii="Franklin Gothic Medium" w:hAnsi="Franklin Gothic Medium" w:cs="Tahoma"/>
          <w:color w:val="2A3190"/>
          <w:sz w:val="28"/>
          <w:szCs w:val="28"/>
        </w:rPr>
      </w:pPr>
      <w:r>
        <w:rPr>
          <w:rFonts w:ascii="Franklin Gothic Medium" w:hAnsi="Franklin Gothic Medium" w:cs="Tahoma"/>
          <w:color w:val="2A3190"/>
          <w:sz w:val="28"/>
          <w:szCs w:val="28"/>
        </w:rPr>
        <w:t xml:space="preserve">Newcomer Housing </w:t>
      </w:r>
      <w:r>
        <w:rPr>
          <w:rFonts w:ascii="Franklin Gothic Medium" w:hAnsi="Franklin Gothic Medium" w:cs="Tahoma"/>
          <w:color w:val="2A3190"/>
          <w:sz w:val="28"/>
          <w:szCs w:val="28"/>
        </w:rPr>
        <w:t>Stability</w:t>
      </w:r>
      <w:r>
        <w:rPr>
          <w:rFonts w:ascii="Franklin Gothic Medium" w:hAnsi="Franklin Gothic Medium" w:cs="Tahoma"/>
          <w:color w:val="2A3190"/>
          <w:sz w:val="28"/>
          <w:szCs w:val="28"/>
        </w:rPr>
        <w:t xml:space="preserve"> Assessment Tool: </w:t>
      </w:r>
      <w:r>
        <w:rPr>
          <w:rFonts w:ascii="Franklin Gothic Medium" w:hAnsi="Franklin Gothic Medium" w:cs="Tahoma"/>
          <w:color w:val="2A3190"/>
          <w:sz w:val="28"/>
          <w:szCs w:val="28"/>
        </w:rPr>
        <w:t>Frequently Asked Questions</w:t>
      </w:r>
    </w:p>
    <w:p w14:paraId="113E00EC" w14:textId="77777777" w:rsidR="00645860" w:rsidRPr="00007337" w:rsidRDefault="00645860" w:rsidP="00007337">
      <w:pPr>
        <w:spacing w:after="0" w:line="0" w:lineRule="atLeast"/>
        <w:jc w:val="center"/>
        <w:rPr>
          <w:rFonts w:ascii="Franklin Gothic Medium" w:hAnsi="Franklin Gothic Medium" w:cs="Tahoma"/>
          <w:color w:val="2A3190"/>
          <w:sz w:val="32"/>
          <w:szCs w:val="32"/>
        </w:rPr>
      </w:pPr>
    </w:p>
    <w:p w14:paraId="34F7CB85" w14:textId="77777777" w:rsidR="00620F62" w:rsidRDefault="00620F62" w:rsidP="00007337">
      <w:pPr>
        <w:spacing w:line="0" w:lineRule="atLeast"/>
        <w:rPr>
          <w:rFonts w:ascii="Franklin Gothic Demi" w:eastAsia="Franklin Gothic Demi" w:hAnsi="Franklin Gothic Demi" w:cs="Franklin Gothic Demi"/>
          <w:sz w:val="20"/>
          <w:szCs w:val="20"/>
        </w:rPr>
      </w:pPr>
      <w:r w:rsidRPr="11F8BCAF">
        <w:rPr>
          <w:rFonts w:ascii="Franklin Gothic Demi" w:eastAsia="Franklin Gothic Demi" w:hAnsi="Franklin Gothic Demi" w:cs="Franklin Gothic Demi"/>
          <w:sz w:val="20"/>
          <w:szCs w:val="20"/>
        </w:rPr>
        <w:t>1. What is the purpose of the Newcomer Housing Stability Assessment Tool (NHSAT)?</w:t>
      </w:r>
    </w:p>
    <w:p w14:paraId="214779AC" w14:textId="77777777"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The NHSAT is designed to comprehensively evaluate housing stability among newcomers, identifying potential challenges and facilitating targeted interventions to promote secure and sustainable housing.</w:t>
      </w:r>
    </w:p>
    <w:p w14:paraId="4E13727B" w14:textId="77777777"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2</w:t>
      </w:r>
      <w:r w:rsidRPr="11F8BCAF">
        <w:rPr>
          <w:rFonts w:ascii="Franklin Gothic Demi" w:eastAsia="Franklin Gothic Demi" w:hAnsi="Franklin Gothic Demi" w:cs="Franklin Gothic Demi"/>
          <w:sz w:val="20"/>
          <w:szCs w:val="20"/>
        </w:rPr>
        <w:t>. How is the NHSAT administered?</w:t>
      </w:r>
    </w:p>
    <w:p w14:paraId="5B1BBEF6" w14:textId="38F8850A"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 NHSAT can be administered through structured interviews, self-assessment questionnaires, or a combination of both, depending on the preferences and needs of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 xml:space="preserve"> and the resettlement service provider.</w:t>
      </w:r>
      <w:r w:rsidRPr="00265E0E">
        <w:rPr>
          <w:rFonts w:ascii="Franklin Gothic Book" w:eastAsia="Franklin Gothic Book" w:hAnsi="Franklin Gothic Book" w:cs="Franklin Gothic Book"/>
          <w:sz w:val="20"/>
          <w:szCs w:val="20"/>
        </w:rPr>
        <w:t xml:space="preserve"> </w:t>
      </w:r>
      <w:r w:rsidR="004A715E">
        <w:rPr>
          <w:rFonts w:ascii="Franklin Gothic Book" w:eastAsia="Franklin Gothic Book" w:hAnsi="Franklin Gothic Book" w:cs="Franklin Gothic Book"/>
          <w:sz w:val="20"/>
          <w:szCs w:val="20"/>
        </w:rPr>
        <w:t>R</w:t>
      </w:r>
      <w:r>
        <w:rPr>
          <w:rFonts w:ascii="Franklin Gothic Book" w:eastAsia="Franklin Gothic Book" w:hAnsi="Franklin Gothic Book" w:cs="Franklin Gothic Book"/>
          <w:sz w:val="20"/>
          <w:szCs w:val="20"/>
        </w:rPr>
        <w:t xml:space="preserve">esettlement </w:t>
      </w:r>
      <w:r w:rsidRPr="11F8BCAF">
        <w:rPr>
          <w:rFonts w:ascii="Franklin Gothic Book" w:eastAsia="Franklin Gothic Book" w:hAnsi="Franklin Gothic Book" w:cs="Franklin Gothic Book"/>
          <w:sz w:val="20"/>
          <w:szCs w:val="20"/>
        </w:rPr>
        <w:t xml:space="preserve">service providers, social workers, case managers, and other professionals working with newcomers </w:t>
      </w:r>
      <w:r>
        <w:rPr>
          <w:rFonts w:ascii="Franklin Gothic Book" w:eastAsia="Franklin Gothic Book" w:hAnsi="Franklin Gothic Book" w:cs="Franklin Gothic Book"/>
          <w:sz w:val="20"/>
          <w:szCs w:val="20"/>
        </w:rPr>
        <w:t xml:space="preserve">use NHSAT </w:t>
      </w:r>
      <w:r w:rsidRPr="11F8BCAF">
        <w:rPr>
          <w:rFonts w:ascii="Franklin Gothic Book" w:eastAsia="Franklin Gothic Book" w:hAnsi="Franklin Gothic Book" w:cs="Franklin Gothic Book"/>
          <w:sz w:val="20"/>
          <w:szCs w:val="20"/>
        </w:rPr>
        <w:t xml:space="preserve">to assess </w:t>
      </w:r>
      <w:r>
        <w:rPr>
          <w:rFonts w:ascii="Franklin Gothic Book" w:eastAsia="Franklin Gothic Book" w:hAnsi="Franklin Gothic Book" w:cs="Franklin Gothic Book"/>
          <w:sz w:val="20"/>
          <w:szCs w:val="20"/>
        </w:rPr>
        <w:t>a newcomer’s</w:t>
      </w:r>
      <w:r w:rsidRPr="11F8BCAF">
        <w:rPr>
          <w:rFonts w:ascii="Franklin Gothic Book" w:eastAsia="Franklin Gothic Book" w:hAnsi="Franklin Gothic Book" w:cs="Franklin Gothic Book"/>
          <w:sz w:val="20"/>
          <w:szCs w:val="20"/>
        </w:rPr>
        <w:t xml:space="preserve"> housing stability and provide tailored support services</w:t>
      </w:r>
      <w:r w:rsidR="004A715E">
        <w:rPr>
          <w:rFonts w:ascii="Franklin Gothic Book" w:eastAsia="Franklin Gothic Book" w:hAnsi="Franklin Gothic Book" w:cs="Franklin Gothic Book"/>
          <w:sz w:val="20"/>
          <w:szCs w:val="20"/>
        </w:rPr>
        <w:t>.</w:t>
      </w:r>
    </w:p>
    <w:p w14:paraId="5279BAE2" w14:textId="77777777" w:rsidR="00620F62" w:rsidRPr="00007337" w:rsidRDefault="00620F62" w:rsidP="00007337">
      <w:pPr>
        <w:spacing w:line="0" w:lineRule="atLeast"/>
        <w:rPr>
          <w:rFonts w:ascii="Franklin Gothic Demi" w:eastAsia="Franklin Gothic Demi" w:hAnsi="Franklin Gothic Demi" w:cs="Franklin Gothic Demi"/>
          <w:sz w:val="18"/>
          <w:szCs w:val="18"/>
        </w:rPr>
      </w:pPr>
      <w:r>
        <w:rPr>
          <w:rFonts w:ascii="Franklin Gothic Demi" w:eastAsia="Franklin Gothic Demi" w:hAnsi="Franklin Gothic Demi" w:cs="Franklin Gothic Demi"/>
          <w:sz w:val="20"/>
          <w:szCs w:val="20"/>
        </w:rPr>
        <w:t>3</w:t>
      </w:r>
      <w:r w:rsidRPr="11F8BCAF">
        <w:rPr>
          <w:rFonts w:ascii="Franklin Gothic Demi" w:eastAsia="Franklin Gothic Demi" w:hAnsi="Franklin Gothic Demi" w:cs="Franklin Gothic Demi"/>
          <w:sz w:val="20"/>
          <w:szCs w:val="20"/>
        </w:rPr>
        <w:t>. What domains and components are included in the NHSAT?</w:t>
      </w:r>
    </w:p>
    <w:p w14:paraId="23034FF0" w14:textId="77777777" w:rsidR="00620F62" w:rsidRPr="00265E0E"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The NHSAT covers four main domains: Wellness, Risks, Socialization &amp; Daily Functioning, and Housing History. Each domain includes specific components related to housing stability, such as mental health, risk of homelessness, social support networks, and previous housing experiences.</w:t>
      </w:r>
    </w:p>
    <w:p w14:paraId="511E69E0" w14:textId="77777777"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4</w:t>
      </w:r>
      <w:r w:rsidRPr="11F8BCAF">
        <w:rPr>
          <w:rFonts w:ascii="Franklin Gothic Demi" w:eastAsia="Franklin Gothic Demi" w:hAnsi="Franklin Gothic Demi" w:cs="Franklin Gothic Demi"/>
          <w:sz w:val="20"/>
          <w:szCs w:val="20"/>
        </w:rPr>
        <w:t>. How long does it take to complete the NHSAT?</w:t>
      </w:r>
    </w:p>
    <w:p w14:paraId="16D09F5A" w14:textId="3E787CC7"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 time required to complete the NHSAT may vary depending on the complexity of the </w:t>
      </w:r>
      <w:r>
        <w:rPr>
          <w:rFonts w:ascii="Franklin Gothic Book" w:eastAsia="Franklin Gothic Book" w:hAnsi="Franklin Gothic Book" w:cs="Franklin Gothic Book"/>
          <w:sz w:val="20"/>
          <w:szCs w:val="20"/>
        </w:rPr>
        <w:t>newcomer</w:t>
      </w:r>
      <w:r w:rsidRPr="11F8BCAF">
        <w:rPr>
          <w:rFonts w:ascii="Franklin Gothic Book" w:eastAsia="Franklin Gothic Book" w:hAnsi="Franklin Gothic Book" w:cs="Franklin Gothic Book"/>
          <w:sz w:val="20"/>
          <w:szCs w:val="20"/>
        </w:rPr>
        <w:t>'s situation</w:t>
      </w:r>
      <w:r w:rsidR="003D41F8">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 xml:space="preserve"> the thoroughness of the assessment</w:t>
      </w:r>
      <w:r w:rsidR="003D41F8">
        <w:rPr>
          <w:rFonts w:ascii="Franklin Gothic Book" w:eastAsia="Franklin Gothic Book" w:hAnsi="Franklin Gothic Book" w:cs="Franklin Gothic Book"/>
          <w:sz w:val="20"/>
          <w:szCs w:val="20"/>
        </w:rPr>
        <w:t>, and the presence or absence of an interpreter</w:t>
      </w:r>
      <w:r w:rsidRPr="11F8BCAF">
        <w:rPr>
          <w:rFonts w:ascii="Franklin Gothic Book" w:eastAsia="Franklin Gothic Book" w:hAnsi="Franklin Gothic Book" w:cs="Franklin Gothic Book"/>
          <w:sz w:val="20"/>
          <w:szCs w:val="20"/>
        </w:rPr>
        <w:t>. On average, it take</w:t>
      </w:r>
      <w:r w:rsidR="004A715E">
        <w:rPr>
          <w:rFonts w:ascii="Franklin Gothic Book" w:eastAsia="Franklin Gothic Book" w:hAnsi="Franklin Gothic Book" w:cs="Franklin Gothic Book"/>
          <w:sz w:val="20"/>
          <w:szCs w:val="20"/>
        </w:rPr>
        <w:t>s</w:t>
      </w:r>
      <w:r w:rsidRPr="11F8BCAF">
        <w:rPr>
          <w:rFonts w:ascii="Franklin Gothic Book" w:eastAsia="Franklin Gothic Book" w:hAnsi="Franklin Gothic Book" w:cs="Franklin Gothic Book"/>
          <w:sz w:val="20"/>
          <w:szCs w:val="20"/>
        </w:rPr>
        <w:t xml:space="preserve"> between 30 minutes to an hour to complete.</w:t>
      </w:r>
    </w:p>
    <w:p w14:paraId="5C7E0587" w14:textId="77777777"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5</w:t>
      </w:r>
      <w:r w:rsidRPr="11F8BCAF">
        <w:rPr>
          <w:rFonts w:ascii="Franklin Gothic Demi" w:eastAsia="Franklin Gothic Demi" w:hAnsi="Franklin Gothic Demi" w:cs="Franklin Gothic Demi"/>
          <w:sz w:val="20"/>
          <w:szCs w:val="20"/>
        </w:rPr>
        <w:t>. Is the NHSAT available in multiple languages?</w:t>
      </w:r>
    </w:p>
    <w:p w14:paraId="69A6F0F8" w14:textId="34A82ABA" w:rsidR="00620F62" w:rsidRDefault="004A715E" w:rsidP="00007337">
      <w:pPr>
        <w:spacing w:line="0" w:lineRule="atLeast"/>
        <w:rPr>
          <w:rFonts w:ascii="Franklin Gothic Book" w:eastAsia="Franklin Gothic Book" w:hAnsi="Franklin Gothic Book" w:cs="Franklin Gothic Book"/>
          <w:sz w:val="20"/>
          <w:szCs w:val="20"/>
        </w:rPr>
      </w:pPr>
      <w:r>
        <w:rPr>
          <w:rFonts w:ascii="Franklin Gothic Book" w:eastAsia="Franklin Gothic Book" w:hAnsi="Franklin Gothic Book" w:cs="Franklin Gothic Book"/>
          <w:sz w:val="20"/>
          <w:szCs w:val="20"/>
        </w:rPr>
        <w:t>T</w:t>
      </w:r>
      <w:r w:rsidRPr="11F8BCAF">
        <w:rPr>
          <w:rFonts w:ascii="Franklin Gothic Book" w:eastAsia="Franklin Gothic Book" w:hAnsi="Franklin Gothic Book" w:cs="Franklin Gothic Book"/>
          <w:sz w:val="20"/>
          <w:szCs w:val="20"/>
        </w:rPr>
        <w:t>o accommodate the linguistic diversity of newcomer populations</w:t>
      </w:r>
      <w:r>
        <w:rPr>
          <w:rFonts w:ascii="Franklin Gothic Book" w:eastAsia="Franklin Gothic Book" w:hAnsi="Franklin Gothic Book" w:cs="Franklin Gothic Book"/>
          <w:sz w:val="20"/>
          <w:szCs w:val="20"/>
        </w:rPr>
        <w:t>,</w:t>
      </w:r>
      <w:r w:rsidRPr="11F8BCAF">
        <w:rPr>
          <w:rFonts w:ascii="Franklin Gothic Book" w:eastAsia="Franklin Gothic Book" w:hAnsi="Franklin Gothic Book" w:cs="Franklin Gothic Book"/>
          <w:sz w:val="20"/>
          <w:szCs w:val="20"/>
        </w:rPr>
        <w:t xml:space="preserve"> </w:t>
      </w:r>
      <w:r>
        <w:rPr>
          <w:rFonts w:ascii="Franklin Gothic Book" w:eastAsia="Franklin Gothic Book" w:hAnsi="Franklin Gothic Book" w:cs="Franklin Gothic Book"/>
          <w:sz w:val="20"/>
          <w:szCs w:val="20"/>
        </w:rPr>
        <w:t>s</w:t>
      </w:r>
      <w:r w:rsidRPr="11F8BCAF">
        <w:rPr>
          <w:rFonts w:ascii="Franklin Gothic Book" w:eastAsia="Franklin Gothic Book" w:hAnsi="Franklin Gothic Book" w:cs="Franklin Gothic Book"/>
          <w:sz w:val="20"/>
          <w:szCs w:val="20"/>
        </w:rPr>
        <w:t>ervice providers should inquire about language preferences and provide interpretation or translation services as needed while conducting the assessment</w:t>
      </w:r>
      <w:r w:rsidR="00620F62" w:rsidRPr="11F8BCAF">
        <w:rPr>
          <w:rFonts w:ascii="Franklin Gothic Book" w:eastAsia="Franklin Gothic Book" w:hAnsi="Franklin Gothic Book" w:cs="Franklin Gothic Book"/>
          <w:sz w:val="20"/>
          <w:szCs w:val="20"/>
        </w:rPr>
        <w:t xml:space="preserve">. </w:t>
      </w:r>
    </w:p>
    <w:p w14:paraId="44774DA2" w14:textId="562CE210"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6</w:t>
      </w:r>
      <w:r w:rsidRPr="11F8BCAF">
        <w:rPr>
          <w:rFonts w:ascii="Franklin Gothic Demi" w:eastAsia="Franklin Gothic Demi" w:hAnsi="Franklin Gothic Demi" w:cs="Franklin Gothic Demi"/>
          <w:sz w:val="20"/>
          <w:szCs w:val="20"/>
        </w:rPr>
        <w:t xml:space="preserve">. How </w:t>
      </w:r>
      <w:r w:rsidR="004A715E">
        <w:rPr>
          <w:rFonts w:ascii="Franklin Gothic Demi" w:eastAsia="Franklin Gothic Demi" w:hAnsi="Franklin Gothic Demi" w:cs="Franklin Gothic Demi"/>
          <w:sz w:val="20"/>
          <w:szCs w:val="20"/>
        </w:rPr>
        <w:t>do we use</w:t>
      </w:r>
      <w:r w:rsidRPr="11F8BCAF">
        <w:rPr>
          <w:rFonts w:ascii="Franklin Gothic Demi" w:eastAsia="Franklin Gothic Demi" w:hAnsi="Franklin Gothic Demi" w:cs="Franklin Gothic Demi"/>
          <w:sz w:val="20"/>
          <w:szCs w:val="20"/>
        </w:rPr>
        <w:t xml:space="preserve"> the information gathered through the NHSAT?</w:t>
      </w:r>
    </w:p>
    <w:p w14:paraId="2FEA1D23" w14:textId="1CB3F242"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The information gathered through the NHSAT </w:t>
      </w:r>
      <w:r w:rsidR="004A715E">
        <w:rPr>
          <w:rFonts w:ascii="Franklin Gothic Book" w:eastAsia="Franklin Gothic Book" w:hAnsi="Franklin Gothic Book" w:cs="Franklin Gothic Book"/>
          <w:sz w:val="20"/>
          <w:szCs w:val="20"/>
        </w:rPr>
        <w:t xml:space="preserve">can help </w:t>
      </w:r>
      <w:r w:rsidRPr="11F8BCAF">
        <w:rPr>
          <w:rFonts w:ascii="Franklin Gothic Book" w:eastAsia="Franklin Gothic Book" w:hAnsi="Franklin Gothic Book" w:cs="Franklin Gothic Book"/>
          <w:sz w:val="20"/>
          <w:szCs w:val="20"/>
        </w:rPr>
        <w:t xml:space="preserve">develop individualized housing stability plans, identify appropriate support services and resources, and track progress over time. </w:t>
      </w:r>
      <w:r>
        <w:rPr>
          <w:rFonts w:ascii="Franklin Gothic Book" w:eastAsia="Franklin Gothic Book" w:hAnsi="Franklin Gothic Book" w:cs="Franklin Gothic Book"/>
          <w:sz w:val="20"/>
          <w:szCs w:val="20"/>
        </w:rPr>
        <w:t xml:space="preserve">Newcomer </w:t>
      </w:r>
      <w:r w:rsidRPr="11F8BCAF">
        <w:rPr>
          <w:rFonts w:ascii="Franklin Gothic Book" w:eastAsia="Franklin Gothic Book" w:hAnsi="Franklin Gothic Book" w:cs="Franklin Gothic Book"/>
          <w:sz w:val="20"/>
          <w:szCs w:val="20"/>
        </w:rPr>
        <w:t xml:space="preserve">confidentiality </w:t>
      </w:r>
      <w:r w:rsidR="004A715E">
        <w:rPr>
          <w:rFonts w:ascii="Franklin Gothic Book" w:eastAsia="Franklin Gothic Book" w:hAnsi="Franklin Gothic Book" w:cs="Franklin Gothic Book"/>
          <w:sz w:val="20"/>
          <w:szCs w:val="20"/>
        </w:rPr>
        <w:t>is</w:t>
      </w:r>
      <w:r w:rsidRPr="11F8BCAF">
        <w:rPr>
          <w:rFonts w:ascii="Franklin Gothic Book" w:eastAsia="Franklin Gothic Book" w:hAnsi="Franklin Gothic Book" w:cs="Franklin Gothic Book"/>
          <w:sz w:val="20"/>
          <w:szCs w:val="20"/>
        </w:rPr>
        <w:t xml:space="preserve"> ensured in accordance with applicable laws and regulations.</w:t>
      </w:r>
    </w:p>
    <w:p w14:paraId="436CA706" w14:textId="77777777"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7</w:t>
      </w:r>
      <w:r w:rsidRPr="11F8BCAF">
        <w:rPr>
          <w:rFonts w:ascii="Franklin Gothic Demi" w:eastAsia="Franklin Gothic Demi" w:hAnsi="Franklin Gothic Demi" w:cs="Franklin Gothic Demi"/>
          <w:sz w:val="20"/>
          <w:szCs w:val="20"/>
        </w:rPr>
        <w:t>. Can the NHSAT be used to assess housing stability for other populations?</w:t>
      </w:r>
    </w:p>
    <w:p w14:paraId="3A506CD1" w14:textId="2868B905"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While the NHSAT is primarily designed for newcomers, it can be adapted for use with other populations experiencing housing instability</w:t>
      </w:r>
      <w:r w:rsidR="004A715E">
        <w:rPr>
          <w:rFonts w:ascii="Franklin Gothic Book" w:eastAsia="Franklin Gothic Book" w:hAnsi="Franklin Gothic Book" w:cs="Franklin Gothic Book"/>
          <w:sz w:val="20"/>
          <w:szCs w:val="20"/>
        </w:rPr>
        <w:t xml:space="preserve"> or</w:t>
      </w:r>
      <w:r w:rsidRPr="11F8BCAF">
        <w:rPr>
          <w:rFonts w:ascii="Franklin Gothic Book" w:eastAsia="Franklin Gothic Book" w:hAnsi="Franklin Gothic Book" w:cs="Franklin Gothic Book"/>
          <w:sz w:val="20"/>
          <w:szCs w:val="20"/>
        </w:rPr>
        <w:t xml:space="preserve"> homelessness.</w:t>
      </w:r>
    </w:p>
    <w:p w14:paraId="3A6B6D63" w14:textId="77777777" w:rsidR="00620F62" w:rsidRDefault="00620F62" w:rsidP="00007337">
      <w:pPr>
        <w:spacing w:line="0" w:lineRule="atLeast"/>
        <w:rPr>
          <w:rFonts w:ascii="Franklin Gothic Demi" w:eastAsia="Franklin Gothic Demi" w:hAnsi="Franklin Gothic Demi" w:cs="Franklin Gothic Demi"/>
          <w:sz w:val="20"/>
          <w:szCs w:val="20"/>
        </w:rPr>
      </w:pPr>
      <w:r>
        <w:rPr>
          <w:rFonts w:ascii="Franklin Gothic Demi" w:eastAsia="Franklin Gothic Demi" w:hAnsi="Franklin Gothic Demi" w:cs="Franklin Gothic Demi"/>
          <w:sz w:val="20"/>
          <w:szCs w:val="20"/>
        </w:rPr>
        <w:t>8</w:t>
      </w:r>
      <w:r w:rsidRPr="11F8BCAF">
        <w:rPr>
          <w:rFonts w:ascii="Franklin Gothic Demi" w:eastAsia="Franklin Gothic Demi" w:hAnsi="Franklin Gothic Demi" w:cs="Franklin Gothic Demi"/>
          <w:sz w:val="20"/>
          <w:szCs w:val="20"/>
        </w:rPr>
        <w:t>. Are there training resources available for using the NHSAT?</w:t>
      </w:r>
    </w:p>
    <w:p w14:paraId="4650322D" w14:textId="2F57B79C" w:rsidR="00620F62" w:rsidRDefault="00620F62" w:rsidP="00007337">
      <w:pPr>
        <w:spacing w:line="0" w:lineRule="atLeast"/>
        <w:rPr>
          <w:rFonts w:ascii="Franklin Gothic Book" w:eastAsia="Franklin Gothic Book" w:hAnsi="Franklin Gothic Book" w:cs="Franklin Gothic Book"/>
          <w:sz w:val="20"/>
          <w:szCs w:val="20"/>
        </w:rPr>
      </w:pPr>
      <w:r w:rsidRPr="11F8BCAF">
        <w:rPr>
          <w:rFonts w:ascii="Franklin Gothic Book" w:eastAsia="Franklin Gothic Book" w:hAnsi="Franklin Gothic Book" w:cs="Franklin Gothic Book"/>
          <w:sz w:val="20"/>
          <w:szCs w:val="20"/>
        </w:rPr>
        <w:t xml:space="preserve">Training resources, including user manuals, guides, and webinars, may be available to help </w:t>
      </w:r>
      <w:r>
        <w:rPr>
          <w:rFonts w:ascii="Franklin Gothic Book" w:eastAsia="Franklin Gothic Book" w:hAnsi="Franklin Gothic Book" w:cs="Franklin Gothic Book"/>
          <w:sz w:val="20"/>
          <w:szCs w:val="20"/>
        </w:rPr>
        <w:t xml:space="preserve">resettlement </w:t>
      </w:r>
      <w:r w:rsidRPr="11F8BCAF">
        <w:rPr>
          <w:rFonts w:ascii="Franklin Gothic Book" w:eastAsia="Franklin Gothic Book" w:hAnsi="Franklin Gothic Book" w:cs="Franklin Gothic Book"/>
          <w:sz w:val="20"/>
          <w:szCs w:val="20"/>
        </w:rPr>
        <w:t xml:space="preserve">service providers effectively administer and interpret the NHSAT. Service providers should inquire with relevant organizations or agencies for access to training materials. See </w:t>
      </w:r>
      <w:hyperlink r:id="rId5" w:history="1">
        <w:r w:rsidRPr="003D41F8">
          <w:rPr>
            <w:rStyle w:val="Hyperlink"/>
            <w:rFonts w:ascii="Franklin Gothic Book" w:eastAsia="Franklin Gothic Book" w:hAnsi="Franklin Gothic Book" w:cs="Franklin Gothic Book"/>
            <w:sz w:val="20"/>
            <w:szCs w:val="20"/>
          </w:rPr>
          <w:t>Switchboard</w:t>
        </w:r>
      </w:hyperlink>
      <w:r w:rsidRPr="11F8BCAF">
        <w:rPr>
          <w:rFonts w:ascii="Franklin Gothic Book" w:eastAsia="Franklin Gothic Book" w:hAnsi="Franklin Gothic Book" w:cs="Franklin Gothic Book"/>
          <w:sz w:val="20"/>
          <w:szCs w:val="20"/>
        </w:rPr>
        <w:t xml:space="preserve"> and </w:t>
      </w:r>
      <w:hyperlink r:id="rId6" w:history="1">
        <w:r w:rsidRPr="003D41F8">
          <w:rPr>
            <w:rStyle w:val="Hyperlink"/>
            <w:rFonts w:ascii="Franklin Gothic Book" w:eastAsia="Franklin Gothic Book" w:hAnsi="Franklin Gothic Book" w:cs="Franklin Gothic Book"/>
            <w:sz w:val="20"/>
            <w:szCs w:val="20"/>
          </w:rPr>
          <w:t>Refugee Housing Solution</w:t>
        </w:r>
        <w:r w:rsidR="003D41F8" w:rsidRPr="003D41F8">
          <w:rPr>
            <w:rStyle w:val="Hyperlink"/>
            <w:rFonts w:ascii="Franklin Gothic Book" w:eastAsia="Franklin Gothic Book" w:hAnsi="Franklin Gothic Book" w:cs="Franklin Gothic Book"/>
            <w:sz w:val="20"/>
            <w:szCs w:val="20"/>
          </w:rPr>
          <w:t>s</w:t>
        </w:r>
      </w:hyperlink>
      <w:r w:rsidRPr="11F8BCAF">
        <w:rPr>
          <w:rFonts w:ascii="Franklin Gothic Book" w:eastAsia="Franklin Gothic Book" w:hAnsi="Franklin Gothic Book" w:cs="Franklin Gothic Book"/>
          <w:sz w:val="20"/>
          <w:szCs w:val="20"/>
        </w:rPr>
        <w:t xml:space="preserve"> for </w:t>
      </w:r>
      <w:hyperlink r:id="rId7" w:history="1">
        <w:r w:rsidRPr="003D41F8">
          <w:rPr>
            <w:rStyle w:val="Hyperlink"/>
            <w:rFonts w:ascii="Franklin Gothic Book" w:eastAsia="Franklin Gothic Book" w:hAnsi="Franklin Gothic Book" w:cs="Franklin Gothic Book"/>
            <w:sz w:val="20"/>
            <w:szCs w:val="20"/>
          </w:rPr>
          <w:t>technical assistance and training</w:t>
        </w:r>
      </w:hyperlink>
      <w:r w:rsidRPr="11F8BCAF">
        <w:rPr>
          <w:rFonts w:ascii="Franklin Gothic Book" w:eastAsia="Franklin Gothic Book" w:hAnsi="Franklin Gothic Book" w:cs="Franklin Gothic Book"/>
          <w:sz w:val="20"/>
          <w:szCs w:val="20"/>
        </w:rPr>
        <w:t xml:space="preserve"> material. </w:t>
      </w:r>
    </w:p>
    <w:p w14:paraId="4514E1DE" w14:textId="77777777" w:rsidR="00092DEE" w:rsidRPr="00007337" w:rsidRDefault="00092DEE">
      <w:pPr>
        <w:rPr>
          <w:sz w:val="10"/>
          <w:szCs w:val="10"/>
        </w:rPr>
      </w:pPr>
    </w:p>
    <w:p w14:paraId="143DB2E8" w14:textId="77777777" w:rsidR="00794085" w:rsidRPr="00007337" w:rsidRDefault="00794085" w:rsidP="00007337">
      <w:pPr>
        <w:rPr>
          <w:rFonts w:ascii="Franklin Gothic Book" w:hAnsi="Franklin Gothic Book"/>
          <w:i/>
          <w:iCs/>
          <w:sz w:val="18"/>
          <w:szCs w:val="18"/>
        </w:rPr>
      </w:pPr>
      <w:r w:rsidRPr="00007337">
        <w:rPr>
          <w:rFonts w:ascii="Franklin Gothic Book" w:hAnsi="Franklin Gothic Book"/>
          <w:i/>
          <w:iCs/>
          <w:sz w:val="18"/>
          <w:szCs w:val="18"/>
        </w:rPr>
        <w:t xml:space="preserve">The IRC received competitive funding through the U.S. Department of Health and Human Services, Administration for Children and Families, Grant #90RB0052 and Grant #90RB0053.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794085" w:rsidRPr="0000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62"/>
    <w:rsid w:val="00007337"/>
    <w:rsid w:val="00092DEE"/>
    <w:rsid w:val="000D2C7F"/>
    <w:rsid w:val="002A4C15"/>
    <w:rsid w:val="003D41F8"/>
    <w:rsid w:val="004A715E"/>
    <w:rsid w:val="00500848"/>
    <w:rsid w:val="005860F2"/>
    <w:rsid w:val="00620F62"/>
    <w:rsid w:val="00645860"/>
    <w:rsid w:val="00794085"/>
    <w:rsid w:val="008E0022"/>
    <w:rsid w:val="00A849BA"/>
    <w:rsid w:val="00AE1A0B"/>
    <w:rsid w:val="00E75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2EE85"/>
  <w15:chartTrackingRefBased/>
  <w15:docId w15:val="{157AA3B0-4928-419A-9D66-5120A43F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62"/>
    <w:pPr>
      <w:spacing w:line="279" w:lineRule="auto"/>
    </w:pPr>
    <w:rPr>
      <w:rFonts w:asciiTheme="minorHAnsi" w:eastAsiaTheme="minorEastAsia" w:hAnsiTheme="minorHAnsi"/>
      <w:kern w:val="0"/>
      <w:sz w:val="24"/>
      <w:szCs w:val="24"/>
      <w:lang w:eastAsia="ja-JP"/>
      <w14:ligatures w14:val="none"/>
    </w:rPr>
  </w:style>
  <w:style w:type="paragraph" w:styleId="Heading1">
    <w:name w:val="heading 1"/>
    <w:basedOn w:val="Normal"/>
    <w:next w:val="Normal"/>
    <w:link w:val="Heading1Char"/>
    <w:uiPriority w:val="9"/>
    <w:qFormat/>
    <w:rsid w:val="00620F6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20F6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20F62"/>
    <w:pPr>
      <w:keepNext/>
      <w:keepLines/>
      <w:spacing w:before="160" w:after="80" w:line="259" w:lineRule="auto"/>
      <w:outlineLvl w:val="2"/>
    </w:pPr>
    <w:rPr>
      <w:rFonts w:eastAsiaTheme="majorEastAsia"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20F62"/>
    <w:pPr>
      <w:keepNext/>
      <w:keepLines/>
      <w:spacing w:before="80" w:after="40" w:line="259" w:lineRule="auto"/>
      <w:outlineLvl w:val="3"/>
    </w:pPr>
    <w:rPr>
      <w:rFonts w:eastAsiaTheme="majorEastAsia"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20F62"/>
    <w:pPr>
      <w:keepNext/>
      <w:keepLines/>
      <w:spacing w:before="80" w:after="40" w:line="259" w:lineRule="auto"/>
      <w:outlineLvl w:val="4"/>
    </w:pPr>
    <w:rPr>
      <w:rFonts w:eastAsiaTheme="majorEastAsia"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20F62"/>
    <w:pPr>
      <w:keepNext/>
      <w:keepLines/>
      <w:spacing w:before="40" w:after="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20F62"/>
    <w:pPr>
      <w:keepNext/>
      <w:keepLines/>
      <w:spacing w:before="40" w:after="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20F62"/>
    <w:pPr>
      <w:keepNext/>
      <w:keepLines/>
      <w:spacing w:after="0"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20F62"/>
    <w:pPr>
      <w:keepNext/>
      <w:keepLines/>
      <w:spacing w:after="0"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0F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0F6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0F6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20F6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20F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0F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0F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0F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0F62"/>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20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F62"/>
    <w:pPr>
      <w:numPr>
        <w:ilvl w:val="1"/>
      </w:numPr>
      <w:spacing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20F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0F62"/>
    <w:pPr>
      <w:spacing w:before="160" w:line="259" w:lineRule="auto"/>
      <w:jc w:val="center"/>
    </w:pPr>
    <w:rPr>
      <w:rFonts w:ascii="Arial" w:eastAsiaTheme="minorHAnsi" w:hAnsi="Arial"/>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20F62"/>
    <w:rPr>
      <w:i/>
      <w:iCs/>
      <w:color w:val="404040" w:themeColor="text1" w:themeTint="BF"/>
    </w:rPr>
  </w:style>
  <w:style w:type="paragraph" w:styleId="ListParagraph">
    <w:name w:val="List Paragraph"/>
    <w:basedOn w:val="Normal"/>
    <w:uiPriority w:val="34"/>
    <w:qFormat/>
    <w:rsid w:val="00620F62"/>
    <w:pPr>
      <w:spacing w:line="259" w:lineRule="auto"/>
      <w:ind w:left="720"/>
      <w:contextualSpacing/>
    </w:pPr>
    <w:rPr>
      <w:rFonts w:ascii="Arial" w:eastAsiaTheme="minorHAnsi" w:hAnsi="Arial"/>
      <w:kern w:val="2"/>
      <w:sz w:val="22"/>
      <w:szCs w:val="22"/>
      <w:lang w:eastAsia="en-US"/>
      <w14:ligatures w14:val="standardContextual"/>
    </w:rPr>
  </w:style>
  <w:style w:type="character" w:styleId="IntenseEmphasis">
    <w:name w:val="Intense Emphasis"/>
    <w:basedOn w:val="DefaultParagraphFont"/>
    <w:uiPriority w:val="21"/>
    <w:qFormat/>
    <w:rsid w:val="00620F62"/>
    <w:rPr>
      <w:i/>
      <w:iCs/>
      <w:color w:val="2F5496" w:themeColor="accent1" w:themeShade="BF"/>
    </w:rPr>
  </w:style>
  <w:style w:type="paragraph" w:styleId="IntenseQuote">
    <w:name w:val="Intense Quote"/>
    <w:basedOn w:val="Normal"/>
    <w:next w:val="Normal"/>
    <w:link w:val="IntenseQuoteChar"/>
    <w:uiPriority w:val="30"/>
    <w:qFormat/>
    <w:rsid w:val="00620F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eastAsiaTheme="minorHAnsi" w:hAnsi="Arial"/>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20F62"/>
    <w:rPr>
      <w:i/>
      <w:iCs/>
      <w:color w:val="2F5496" w:themeColor="accent1" w:themeShade="BF"/>
    </w:rPr>
  </w:style>
  <w:style w:type="character" w:styleId="IntenseReference">
    <w:name w:val="Intense Reference"/>
    <w:basedOn w:val="DefaultParagraphFont"/>
    <w:uiPriority w:val="32"/>
    <w:qFormat/>
    <w:rsid w:val="00620F62"/>
    <w:rPr>
      <w:b/>
      <w:bCs/>
      <w:smallCaps/>
      <w:color w:val="2F5496" w:themeColor="accent1" w:themeShade="BF"/>
      <w:spacing w:val="5"/>
    </w:rPr>
  </w:style>
  <w:style w:type="paragraph" w:styleId="Revision">
    <w:name w:val="Revision"/>
    <w:hidden/>
    <w:uiPriority w:val="99"/>
    <w:semiHidden/>
    <w:rsid w:val="004A715E"/>
    <w:pPr>
      <w:spacing w:after="0" w:line="240" w:lineRule="auto"/>
    </w:pPr>
    <w:rPr>
      <w:rFonts w:asciiTheme="minorHAnsi" w:eastAsiaTheme="minorEastAsia" w:hAnsiTheme="minorHAnsi"/>
      <w:kern w:val="0"/>
      <w:sz w:val="24"/>
      <w:szCs w:val="24"/>
      <w:lang w:eastAsia="ja-JP"/>
      <w14:ligatures w14:val="none"/>
    </w:rPr>
  </w:style>
  <w:style w:type="character" w:styleId="CommentReference">
    <w:name w:val="annotation reference"/>
    <w:basedOn w:val="DefaultParagraphFont"/>
    <w:uiPriority w:val="99"/>
    <w:semiHidden/>
    <w:unhideWhenUsed/>
    <w:rsid w:val="00AE1A0B"/>
    <w:rPr>
      <w:sz w:val="16"/>
      <w:szCs w:val="16"/>
    </w:rPr>
  </w:style>
  <w:style w:type="paragraph" w:styleId="CommentText">
    <w:name w:val="annotation text"/>
    <w:basedOn w:val="Normal"/>
    <w:link w:val="CommentTextChar"/>
    <w:uiPriority w:val="99"/>
    <w:unhideWhenUsed/>
    <w:rsid w:val="00AE1A0B"/>
    <w:pPr>
      <w:spacing w:line="240" w:lineRule="auto"/>
    </w:pPr>
    <w:rPr>
      <w:sz w:val="20"/>
      <w:szCs w:val="20"/>
    </w:rPr>
  </w:style>
  <w:style w:type="character" w:customStyle="1" w:styleId="CommentTextChar">
    <w:name w:val="Comment Text Char"/>
    <w:basedOn w:val="DefaultParagraphFont"/>
    <w:link w:val="CommentText"/>
    <w:uiPriority w:val="99"/>
    <w:rsid w:val="00AE1A0B"/>
    <w:rPr>
      <w:rFonts w:asciiTheme="minorHAnsi" w:eastAsiaTheme="minorEastAsia" w:hAnsiTheme="minorHAnsi"/>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AE1A0B"/>
    <w:rPr>
      <w:b/>
      <w:bCs/>
    </w:rPr>
  </w:style>
  <w:style w:type="character" w:customStyle="1" w:styleId="CommentSubjectChar">
    <w:name w:val="Comment Subject Char"/>
    <w:basedOn w:val="CommentTextChar"/>
    <w:link w:val="CommentSubject"/>
    <w:uiPriority w:val="99"/>
    <w:semiHidden/>
    <w:rsid w:val="00AE1A0B"/>
    <w:rPr>
      <w:rFonts w:asciiTheme="minorHAnsi" w:eastAsiaTheme="minorEastAsia" w:hAnsiTheme="minorHAnsi"/>
      <w:b/>
      <w:bCs/>
      <w:kern w:val="0"/>
      <w:sz w:val="20"/>
      <w:szCs w:val="20"/>
      <w:lang w:eastAsia="ja-JP"/>
      <w14:ligatures w14:val="none"/>
    </w:rPr>
  </w:style>
  <w:style w:type="character" w:styleId="Hyperlink">
    <w:name w:val="Hyperlink"/>
    <w:basedOn w:val="DefaultParagraphFont"/>
    <w:uiPriority w:val="99"/>
    <w:unhideWhenUsed/>
    <w:rsid w:val="003D41F8"/>
    <w:rPr>
      <w:color w:val="0563C1" w:themeColor="hyperlink"/>
      <w:u w:val="single"/>
    </w:rPr>
  </w:style>
  <w:style w:type="character" w:styleId="UnresolvedMention">
    <w:name w:val="Unresolved Mention"/>
    <w:basedOn w:val="DefaultParagraphFont"/>
    <w:uiPriority w:val="99"/>
    <w:semiHidden/>
    <w:unhideWhenUsed/>
    <w:rsid w:val="003D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witchboardta.org/technical-assist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ugeehousing.org/" TargetMode="External"/><Relationship Id="rId5" Type="http://schemas.openxmlformats.org/officeDocument/2006/relationships/hyperlink" Target="https://www.switchboardta.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Noubani</dc:creator>
  <cp:keywords/>
  <dc:description/>
  <cp:lastModifiedBy>Elizabeth Tompkins</cp:lastModifiedBy>
  <cp:revision>13</cp:revision>
  <dcterms:created xsi:type="dcterms:W3CDTF">2024-04-09T00:50:00Z</dcterms:created>
  <dcterms:modified xsi:type="dcterms:W3CDTF">2024-04-18T21:41:00Z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99bcfec7b5225f6f04f131427a5d108a4390f59e4ebda041e62e653b5e58fabe</vt:lpwstr>
  </property>
</Properties>
</file>